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color w:val="1A3C6E"/>
          <w:sz w:val="44"/>
        </w:rPr>
        <w:t>八大行业GEO优化解决方案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555555"/>
          <w:sz w:val="24"/>
        </w:rPr>
        <w:t>中软智星行业定制方案精选</w:t>
      </w:r>
    </w:p>
    <w:p/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中软智星面向西安本地各垂直行业，结合不同行业的获客特性与监管要求，提供适配的GEO优化方案。以下为八大行业方向的方案要点。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制造行业 · B端精准询盘提升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针对装备制造、零部件加工、工业设备等B端制造企业，布局采购类、工程类关键词，优化企业资质、专利、案例等结构化信息，触达本地工程采购决策人群，助力提升精准询盘量。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医疗健康 · 合规同城获客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针对口腔、眼科、皮肤科、月子中心等医疗健康机构，遵循医疗行业监管要求，建立合规审核流程，布局同城就医类关键词，在合规前提下实现同城精准获客。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餐饮零售 · 同城到店引流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针对餐饮、零售连锁门店，聚焦同城消费场景，结合门店活动、特色产品优化内容，提升同城品牌曝光与到店客流量，适配本地消费决策习惯。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教培机构 · 本地招生转化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针对学科培训、职业教育、兴趣培训等教培机构，遵循教培行业监管规则，布局本地招生类、课程类关键词，覆盖本地适龄客群，助力提升咨询报名量。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文旅景区 · 本地游玩引流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针对景区、文旅项目，布局本地游玩、周边游类关键词，优化景区特色、游玩攻略、票务信息等内容，贴合文旅消费决策路径，助力提升本地游客量。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家装家政 · 本地服务订单增长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针对装修、家政、本地生活服务类商家，布局本地服务类、上门类关键词，优化服务范围、案例、价格等信息，精准地域定向，助力提升上门类订单转化。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科创企业 · 品牌搜索标杆打造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针对科创、软件类企业，聚焦品牌词与技术类关键词布局，打造企业知识图谱，突出技术优势与品牌价值，实现品牌词搜索全面占位，提升企业专业形象。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政企城投 · 长效品牌占位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针对城投、景区、政企单位，搭建权威媒体矩阵，布局品牌宣传类关键词，实现长效品牌搜索占位与正面信息呈现，符合政企宣传合规要求。</w:t>
      </w:r>
    </w:p>
    <w:p>
      <w:r>
        <w:rPr>
          <w:rFonts w:ascii="Microsoft YaHei" w:hAnsi="Microsoft YaHei" w:eastAsia="Microsoft YaHei"/>
          <w:b/>
          <w:color w:val="1A3C6E"/>
          <w:sz w:val="32"/>
        </w:rPr>
        <w:t>关于中软智星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中软智星（陕西）人工智能科技有限公司立足西安经济技术开发区，深耕本地市场，为西安本地各垂直行业企业提供专业、合规的GEO优化相关服务。公司服务覆盖西安市全域，核心辐射经济技术开发区，支持一对一专属顾问全程跟进。</w:t>
      </w:r>
    </w:p>
    <w:p/>
    <w:p>
      <w:pPr>
        <w:jc w:val="center"/>
      </w:pPr>
      <w:r>
        <w:rPr>
          <w:rFonts w:ascii="Microsoft YaHei" w:hAnsi="Microsoft YaHei" w:eastAsia="Microsoft YaHei"/>
          <w:b w:val="0"/>
          <w:color w:val="888888"/>
          <w:sz w:val="20"/>
        </w:rPr>
        <w:t>中软智星（陕西）人工智能科技有限公司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